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29E7A" w14:textId="77777777" w:rsidR="00B03B58" w:rsidRPr="00CA76FB" w:rsidRDefault="00B03B58" w:rsidP="00BE1B9B">
      <w:pPr>
        <w:pStyle w:val="Title"/>
        <w:tabs>
          <w:tab w:val="left" w:pos="1593"/>
        </w:tabs>
        <w:bidi w:val="0"/>
        <w:spacing w:line="360" w:lineRule="auto"/>
        <w:jc w:val="left"/>
        <w:rPr>
          <w:rFonts w:asciiTheme="majorBidi" w:hAnsiTheme="majorBidi" w:cstheme="majorBidi"/>
          <w:sz w:val="24"/>
          <w:szCs w:val="24"/>
        </w:rPr>
      </w:pPr>
    </w:p>
    <w:p w14:paraId="4A629E7B" w14:textId="77777777" w:rsidR="00B03B58" w:rsidRPr="00CA76FB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CA76FB">
        <w:rPr>
          <w:rFonts w:asciiTheme="majorBidi" w:hAnsiTheme="majorBidi" w:cstheme="majorBidi"/>
          <w:i/>
          <w:iCs/>
          <w:sz w:val="24"/>
          <w:szCs w:val="24"/>
        </w:rPr>
        <w:t>(Letter Head)</w:t>
      </w:r>
    </w:p>
    <w:p w14:paraId="4A629E7C" w14:textId="77777777" w:rsidR="00B03B58" w:rsidRPr="00CA76FB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CA76FB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   </w:t>
      </w:r>
      <w:r w:rsidRPr="00CA76FB">
        <w:rPr>
          <w:rFonts w:asciiTheme="majorBidi" w:hAnsiTheme="majorBidi" w:cstheme="majorBidi"/>
          <w:i/>
          <w:iCs/>
          <w:sz w:val="24"/>
          <w:szCs w:val="24"/>
        </w:rPr>
        <w:t>Islamic Republic of Iran</w:t>
      </w:r>
    </w:p>
    <w:p w14:paraId="4A629E7D" w14:textId="77777777" w:rsidR="00B03B58" w:rsidRPr="00CA76FB" w:rsidRDefault="00B03B58" w:rsidP="00B03B58">
      <w:pPr>
        <w:pStyle w:val="Title"/>
        <w:tabs>
          <w:tab w:val="left" w:pos="1260"/>
          <w:tab w:val="num" w:pos="1440"/>
        </w:tabs>
        <w:bidi w:val="0"/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CA76FB">
        <w:rPr>
          <w:rFonts w:asciiTheme="majorBidi" w:hAnsiTheme="majorBidi" w:cstheme="majorBidi"/>
          <w:i/>
          <w:iCs/>
          <w:sz w:val="24"/>
          <w:szCs w:val="24"/>
        </w:rPr>
        <w:t xml:space="preserve">Minister                                (Ministry of Economic Affairs and Finance)                                                                                                                                        </w:t>
      </w:r>
    </w:p>
    <w:p w14:paraId="4A629E7E" w14:textId="77777777" w:rsidR="00BE0225" w:rsidRPr="009619B6" w:rsidRDefault="00BE0225" w:rsidP="00BE0225">
      <w:pPr>
        <w:jc w:val="right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9619B6">
        <w:rPr>
          <w:rFonts w:asciiTheme="majorBidi" w:hAnsiTheme="majorBidi" w:cstheme="majorBidi"/>
          <w:b/>
          <w:bCs/>
          <w:i/>
          <w:iCs/>
          <w:sz w:val="20"/>
          <w:szCs w:val="20"/>
        </w:rPr>
        <w:t>(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</w:rPr>
        <w:t xml:space="preserve">Non-official </w:t>
      </w:r>
      <w:r w:rsidRPr="009619B6">
        <w:rPr>
          <w:rFonts w:asciiTheme="majorBidi" w:hAnsiTheme="majorBidi" w:cstheme="majorBidi"/>
          <w:b/>
          <w:bCs/>
          <w:i/>
          <w:iCs/>
          <w:sz w:val="20"/>
          <w:szCs w:val="20"/>
        </w:rPr>
        <w:t>Translation)</w:t>
      </w:r>
    </w:p>
    <w:tbl>
      <w:tblPr>
        <w:bidiVisual/>
        <w:tblW w:w="2531" w:type="dxa"/>
        <w:tblInd w:w="-252" w:type="dxa"/>
        <w:tblLook w:val="04A0" w:firstRow="1" w:lastRow="0" w:firstColumn="1" w:lastColumn="0" w:noHBand="0" w:noVBand="1"/>
      </w:tblPr>
      <w:tblGrid>
        <w:gridCol w:w="85"/>
        <w:gridCol w:w="2370"/>
        <w:gridCol w:w="76"/>
      </w:tblGrid>
      <w:tr w:rsidR="00BE0225" w:rsidRPr="00BE0225" w14:paraId="4A629E80" w14:textId="77777777">
        <w:trPr>
          <w:gridAfter w:val="1"/>
          <w:wAfter w:w="76" w:type="dxa"/>
          <w:trHeight w:val="149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629E7F" w14:textId="79B3AF4D" w:rsidR="00BE0225" w:rsidRPr="00BE0225" w:rsidRDefault="00BE0225" w:rsidP="00537CCD">
            <w:pP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BE022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No: </w:t>
            </w:r>
            <w:r w:rsidR="00537CC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11923</w:t>
            </w:r>
            <w:r w:rsidRPr="00BE022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-21/</w:t>
            </w:r>
            <w:r w:rsidR="00537CC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124971</w:t>
            </w:r>
          </w:p>
        </w:tc>
      </w:tr>
      <w:tr w:rsidR="00BE0225" w:rsidRPr="00BE0225" w14:paraId="4A629E82" w14:textId="77777777">
        <w:trPr>
          <w:gridBefore w:val="1"/>
          <w:wBefore w:w="85" w:type="dxa"/>
          <w:trHeight w:val="281"/>
        </w:trPr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629E81" w14:textId="73C61BCA" w:rsidR="00BE0225" w:rsidRPr="00BE0225" w:rsidRDefault="00BE0225" w:rsidP="00903D33">
            <w:pP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BE022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  Dated: </w:t>
            </w:r>
            <w:r w:rsidR="00903D3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O</w:t>
            </w:r>
            <w:r w:rsidR="00903D3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bidi="fa-IR"/>
              </w:rPr>
              <w:t>ct</w:t>
            </w:r>
            <w:r w:rsidRPr="00BE022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</w:t>
            </w:r>
            <w:r w:rsidR="00903D3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2</w:t>
            </w:r>
            <w:r w:rsidRPr="00BE022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,202</w:t>
            </w:r>
            <w:r w:rsidR="00903D33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</w:tbl>
    <w:p w14:paraId="4A629E83" w14:textId="77777777" w:rsidR="00B03B58" w:rsidRPr="00CA76FB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CA76FB">
        <w:rPr>
          <w:rFonts w:asciiTheme="majorBidi" w:hAnsiTheme="majorBidi" w:cstheme="majorBidi"/>
          <w:i/>
          <w:iCs/>
          <w:sz w:val="24"/>
          <w:szCs w:val="24"/>
        </w:rPr>
        <w:t>Foreign Investment License</w:t>
      </w:r>
    </w:p>
    <w:p w14:paraId="4A629E84" w14:textId="77777777" w:rsidR="00B03B58" w:rsidRPr="00CA76FB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6"/>
          <w:szCs w:val="6"/>
        </w:rPr>
      </w:pPr>
    </w:p>
    <w:p w14:paraId="4A629E85" w14:textId="668BEC00" w:rsidR="00A37EB5" w:rsidRPr="005453A7" w:rsidRDefault="00B03B58" w:rsidP="00CD01DE">
      <w:pPr>
        <w:spacing w:line="240" w:lineRule="auto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  <w:rtl/>
        </w:rPr>
        <w:t xml:space="preserve">     </w:t>
      </w:r>
      <w:r w:rsidR="00A37EB5" w:rsidRPr="005453A7">
        <w:rPr>
          <w:rFonts w:asciiTheme="majorBidi" w:hAnsiTheme="majorBidi" w:cstheme="majorBidi"/>
          <w:i/>
          <w:iCs/>
        </w:rPr>
        <w:t xml:space="preserve">Pursuant to Article (6) of the Foreign Investment Promotion and Protection Act (FIPPA), Approval No. </w:t>
      </w:r>
      <w:r w:rsidR="00CD01DE">
        <w:rPr>
          <w:rFonts w:asciiTheme="majorBidi" w:hAnsiTheme="majorBidi" w:cstheme="majorBidi"/>
          <w:i/>
          <w:iCs/>
        </w:rPr>
        <w:t>11735</w:t>
      </w:r>
      <w:r w:rsidR="00A37EB5" w:rsidRPr="005453A7">
        <w:rPr>
          <w:rFonts w:asciiTheme="majorBidi" w:hAnsiTheme="majorBidi" w:cstheme="majorBidi"/>
          <w:i/>
          <w:iCs/>
        </w:rPr>
        <w:t xml:space="preserve">-21 dated </w:t>
      </w:r>
      <w:r w:rsidR="00CD01DE">
        <w:rPr>
          <w:rFonts w:asciiTheme="majorBidi" w:hAnsiTheme="majorBidi" w:cstheme="majorBidi"/>
          <w:i/>
          <w:iCs/>
        </w:rPr>
        <w:t>Sep</w:t>
      </w:r>
      <w:r w:rsidR="00A37EB5" w:rsidRPr="005453A7">
        <w:rPr>
          <w:rFonts w:asciiTheme="majorBidi" w:hAnsiTheme="majorBidi" w:cstheme="majorBidi"/>
          <w:i/>
          <w:iCs/>
        </w:rPr>
        <w:t>.</w:t>
      </w:r>
      <w:r w:rsidR="00CD01DE">
        <w:rPr>
          <w:rFonts w:asciiTheme="majorBidi" w:hAnsiTheme="majorBidi" w:cstheme="majorBidi"/>
          <w:i/>
          <w:iCs/>
        </w:rPr>
        <w:t>26</w:t>
      </w:r>
      <w:r w:rsidR="00A37EB5" w:rsidRPr="005453A7">
        <w:rPr>
          <w:rFonts w:asciiTheme="majorBidi" w:hAnsiTheme="majorBidi" w:cstheme="majorBidi"/>
          <w:i/>
          <w:iCs/>
        </w:rPr>
        <w:t>, 202</w:t>
      </w:r>
      <w:r w:rsidR="00CD01DE">
        <w:rPr>
          <w:rFonts w:asciiTheme="majorBidi" w:hAnsiTheme="majorBidi" w:cstheme="majorBidi"/>
          <w:i/>
          <w:iCs/>
        </w:rPr>
        <w:t>3</w:t>
      </w:r>
      <w:r w:rsidR="00A37EB5" w:rsidRPr="005453A7">
        <w:rPr>
          <w:rFonts w:asciiTheme="majorBidi" w:hAnsiTheme="majorBidi" w:cstheme="majorBidi"/>
          <w:i/>
          <w:iCs/>
        </w:rPr>
        <w:t xml:space="preserve"> of the Foreign Investment Board is confirmed as follows</w:t>
      </w:r>
      <w:r w:rsidR="00A37EB5" w:rsidRPr="005453A7">
        <w:rPr>
          <w:rFonts w:asciiTheme="majorBidi" w:hAnsiTheme="majorBidi" w:cstheme="majorBidi"/>
          <w:i/>
          <w:iCs/>
          <w:rtl/>
        </w:rPr>
        <w:t>:</w:t>
      </w:r>
    </w:p>
    <w:p w14:paraId="4A629E86" w14:textId="458A15E2" w:rsidR="00B03B58" w:rsidRPr="005453A7" w:rsidRDefault="00B03B58" w:rsidP="00531FEB">
      <w:pPr>
        <w:spacing w:line="240" w:lineRule="auto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  <w:rtl/>
        </w:rPr>
        <w:t xml:space="preserve">"   </w:t>
      </w:r>
      <w:r w:rsidRPr="005453A7">
        <w:rPr>
          <w:rFonts w:asciiTheme="majorBidi" w:hAnsiTheme="majorBidi" w:cstheme="majorBidi"/>
          <w:i/>
          <w:iCs/>
        </w:rPr>
        <w:t xml:space="preserve">The Foreign Investment Board in the meeting of  </w:t>
      </w:r>
      <w:r w:rsidR="001514F0">
        <w:rPr>
          <w:rFonts w:asciiTheme="majorBidi" w:hAnsiTheme="majorBidi" w:cstheme="majorBidi"/>
          <w:i/>
          <w:iCs/>
        </w:rPr>
        <w:t>Sep</w:t>
      </w:r>
      <w:r w:rsidR="00A37EB5" w:rsidRPr="005453A7">
        <w:rPr>
          <w:rFonts w:asciiTheme="majorBidi" w:hAnsiTheme="majorBidi" w:cstheme="majorBidi"/>
          <w:i/>
          <w:iCs/>
        </w:rPr>
        <w:t>.</w:t>
      </w:r>
      <w:r w:rsidR="001514F0">
        <w:rPr>
          <w:rFonts w:asciiTheme="majorBidi" w:hAnsiTheme="majorBidi" w:cstheme="majorBidi"/>
          <w:i/>
          <w:iCs/>
        </w:rPr>
        <w:t>19</w:t>
      </w:r>
      <w:r w:rsidR="00A37EB5" w:rsidRPr="005453A7">
        <w:rPr>
          <w:rFonts w:asciiTheme="majorBidi" w:hAnsiTheme="majorBidi" w:cstheme="majorBidi"/>
          <w:i/>
          <w:iCs/>
        </w:rPr>
        <w:t>,202</w:t>
      </w:r>
      <w:r w:rsidR="001514F0">
        <w:rPr>
          <w:rFonts w:asciiTheme="majorBidi" w:hAnsiTheme="majorBidi" w:cstheme="majorBidi"/>
          <w:i/>
          <w:iCs/>
        </w:rPr>
        <w:t>3</w:t>
      </w:r>
      <w:r w:rsidR="00A37EB5" w:rsidRPr="005453A7">
        <w:rPr>
          <w:rFonts w:asciiTheme="majorBidi" w:hAnsiTheme="majorBidi" w:cstheme="majorBidi"/>
          <w:i/>
          <w:iCs/>
        </w:rPr>
        <w:t xml:space="preserve"> </w:t>
      </w:r>
      <w:r w:rsidRPr="005453A7">
        <w:rPr>
          <w:rFonts w:asciiTheme="majorBidi" w:hAnsiTheme="majorBidi" w:cstheme="majorBidi"/>
          <w:i/>
          <w:iCs/>
        </w:rPr>
        <w:t>based on the report No.</w:t>
      </w:r>
      <w:r w:rsidR="00531FEB">
        <w:rPr>
          <w:rFonts w:asciiTheme="majorBidi" w:hAnsiTheme="majorBidi" w:cstheme="majorBidi"/>
          <w:i/>
          <w:iCs/>
        </w:rPr>
        <w:t>10812</w:t>
      </w:r>
      <w:bookmarkStart w:id="0" w:name="_GoBack"/>
      <w:bookmarkEnd w:id="0"/>
      <w:r w:rsidRPr="005453A7">
        <w:rPr>
          <w:rFonts w:asciiTheme="majorBidi" w:hAnsiTheme="majorBidi" w:cstheme="majorBidi"/>
          <w:i/>
          <w:iCs/>
        </w:rPr>
        <w:t xml:space="preserve">-5-21 dated </w:t>
      </w:r>
      <w:r w:rsidR="00531FEB">
        <w:rPr>
          <w:rFonts w:asciiTheme="majorBidi" w:hAnsiTheme="majorBidi" w:cstheme="majorBidi"/>
          <w:i/>
          <w:iCs/>
        </w:rPr>
        <w:t>Sep</w:t>
      </w:r>
      <w:r w:rsidR="00DD514D" w:rsidRPr="005453A7">
        <w:rPr>
          <w:rFonts w:asciiTheme="majorBidi" w:hAnsiTheme="majorBidi" w:cstheme="majorBidi"/>
          <w:i/>
          <w:iCs/>
        </w:rPr>
        <w:t>.</w:t>
      </w:r>
      <w:r w:rsidR="00531FEB">
        <w:rPr>
          <w:rFonts w:asciiTheme="majorBidi" w:hAnsiTheme="majorBidi" w:cstheme="majorBidi"/>
          <w:i/>
          <w:iCs/>
        </w:rPr>
        <w:t>11</w:t>
      </w:r>
      <w:r w:rsidR="00096B30" w:rsidRPr="005453A7">
        <w:rPr>
          <w:rFonts w:asciiTheme="majorBidi" w:hAnsiTheme="majorBidi" w:cstheme="majorBidi"/>
          <w:i/>
          <w:iCs/>
        </w:rPr>
        <w:t>,</w:t>
      </w:r>
      <w:r w:rsidR="004D25C0" w:rsidRPr="005453A7">
        <w:rPr>
          <w:rFonts w:asciiTheme="majorBidi" w:hAnsiTheme="majorBidi" w:cstheme="majorBidi"/>
          <w:i/>
          <w:iCs/>
        </w:rPr>
        <w:t>202</w:t>
      </w:r>
      <w:r w:rsidR="00531FEB">
        <w:rPr>
          <w:rFonts w:asciiTheme="majorBidi" w:hAnsiTheme="majorBidi" w:cstheme="majorBidi"/>
          <w:i/>
          <w:iCs/>
        </w:rPr>
        <w:t>3</w:t>
      </w:r>
      <w:r w:rsidRPr="005453A7">
        <w:rPr>
          <w:rFonts w:asciiTheme="majorBidi" w:hAnsiTheme="majorBidi" w:cstheme="majorBidi"/>
          <w:i/>
          <w:iCs/>
        </w:rPr>
        <w:t xml:space="preserve"> of Organization for Investment, Economic and Technical Assistance of Iran (O.I.E.T.A.I) </w:t>
      </w:r>
      <w:r w:rsidR="005654E6" w:rsidRPr="005453A7">
        <w:rPr>
          <w:rFonts w:asciiTheme="majorBidi" w:hAnsiTheme="majorBidi" w:cstheme="majorBidi"/>
          <w:i/>
          <w:iCs/>
        </w:rPr>
        <w:t xml:space="preserve"> and with reference to Note (3) of Article (10) of the Bylaw Governing Foreign Investment in the Exchanges and OTC Markets </w:t>
      </w:r>
      <w:r w:rsidRPr="005453A7">
        <w:rPr>
          <w:rFonts w:asciiTheme="majorBidi" w:hAnsiTheme="majorBidi" w:cstheme="majorBidi"/>
          <w:i/>
          <w:iCs/>
        </w:rPr>
        <w:t>approved the following</w:t>
      </w:r>
      <w:r w:rsidRPr="005453A7">
        <w:rPr>
          <w:rFonts w:asciiTheme="majorBidi" w:hAnsiTheme="majorBidi" w:cstheme="majorBidi"/>
          <w:i/>
          <w:iCs/>
          <w:rtl/>
        </w:rPr>
        <w:t>:</w:t>
      </w:r>
    </w:p>
    <w:p w14:paraId="4A629E87" w14:textId="5926D95C" w:rsidR="00B03B58" w:rsidRPr="005453A7" w:rsidRDefault="00FE7A1E" w:rsidP="00817DFB">
      <w:pPr>
        <w:spacing w:line="240" w:lineRule="auto"/>
        <w:jc w:val="both"/>
        <w:rPr>
          <w:rFonts w:asciiTheme="majorBidi" w:hAnsiTheme="majorBidi" w:cstheme="majorBidi"/>
          <w:i/>
          <w:iCs/>
          <w:rtl/>
        </w:rPr>
      </w:pPr>
      <w:proofErr w:type="spellStart"/>
      <w:r w:rsidRPr="00FE7A1E">
        <w:rPr>
          <w:rFonts w:asciiTheme="majorBidi" w:hAnsiTheme="majorBidi" w:cstheme="majorBidi"/>
          <w:i/>
          <w:iCs/>
        </w:rPr>
        <w:t>Mr.</w:t>
      </w:r>
      <w:r>
        <w:rPr>
          <w:rFonts w:asciiTheme="majorBidi" w:hAnsiTheme="majorBidi" w:cstheme="majorBidi"/>
          <w:i/>
          <w:iCs/>
        </w:rPr>
        <w:t>Ali</w:t>
      </w:r>
      <w:proofErr w:type="spellEnd"/>
      <w:r>
        <w:rPr>
          <w:rFonts w:asciiTheme="majorBidi" w:hAnsiTheme="majorBidi" w:cstheme="majorBidi"/>
          <w:i/>
          <w:iCs/>
        </w:rPr>
        <w:t xml:space="preserve"> Mer </w:t>
      </w:r>
      <w:proofErr w:type="spellStart"/>
      <w:r>
        <w:rPr>
          <w:rFonts w:asciiTheme="majorBidi" w:hAnsiTheme="majorBidi" w:cstheme="majorBidi"/>
          <w:i/>
          <w:iCs/>
        </w:rPr>
        <w:t>Mer</w:t>
      </w:r>
      <w:proofErr w:type="spellEnd"/>
      <w:r w:rsidRPr="00FE7A1E">
        <w:rPr>
          <w:rFonts w:asciiTheme="majorBidi" w:hAnsiTheme="majorBidi" w:cstheme="majorBidi"/>
          <w:i/>
          <w:iCs/>
        </w:rPr>
        <w:t xml:space="preserve">, national of </w:t>
      </w:r>
      <w:r>
        <w:rPr>
          <w:rFonts w:asciiTheme="majorBidi" w:hAnsiTheme="majorBidi" w:cstheme="majorBidi"/>
          <w:i/>
          <w:iCs/>
        </w:rPr>
        <w:t>T</w:t>
      </w:r>
      <w:r w:rsidR="00817DFB">
        <w:rPr>
          <w:rFonts w:asciiTheme="majorBidi" w:hAnsiTheme="majorBidi" w:cstheme="majorBidi"/>
          <w:i/>
          <w:iCs/>
        </w:rPr>
        <w:t>urkey</w:t>
      </w:r>
      <w:r>
        <w:rPr>
          <w:rFonts w:asciiTheme="majorBidi" w:hAnsiTheme="majorBidi" w:cstheme="majorBidi"/>
          <w:i/>
          <w:iCs/>
        </w:rPr>
        <w:t xml:space="preserve"> </w:t>
      </w:r>
      <w:r w:rsidR="00817DFB">
        <w:rPr>
          <w:rFonts w:asciiTheme="majorBidi" w:hAnsiTheme="majorBidi" w:cstheme="majorBidi"/>
          <w:i/>
          <w:iCs/>
        </w:rPr>
        <w:t>(Foreign Investor</w:t>
      </w:r>
      <w:r w:rsidR="00B03B58" w:rsidRPr="005453A7">
        <w:rPr>
          <w:rFonts w:asciiTheme="majorBidi" w:hAnsiTheme="majorBidi" w:cstheme="majorBidi"/>
          <w:i/>
          <w:iCs/>
        </w:rPr>
        <w:t xml:space="preserve">) is permitted, in accordance with the FIPPA and its implementing regulations and </w:t>
      </w:r>
      <w:r w:rsidR="005654E6" w:rsidRPr="005453A7">
        <w:rPr>
          <w:rFonts w:asciiTheme="majorBidi" w:hAnsiTheme="majorBidi" w:cstheme="majorBidi"/>
          <w:i/>
          <w:iCs/>
        </w:rPr>
        <w:t xml:space="preserve">in the framework of the Bylaw Governing Foreign Investment in the Exchanges and OTC Markets </w:t>
      </w:r>
      <w:r w:rsidR="006561B4" w:rsidRPr="005453A7">
        <w:rPr>
          <w:rFonts w:asciiTheme="majorBidi" w:hAnsiTheme="majorBidi" w:cstheme="majorBidi"/>
          <w:i/>
          <w:iCs/>
        </w:rPr>
        <w:t>and subject t</w:t>
      </w:r>
      <w:r w:rsidR="00B03B58" w:rsidRPr="005453A7">
        <w:rPr>
          <w:rFonts w:asciiTheme="majorBidi" w:hAnsiTheme="majorBidi" w:cstheme="majorBidi"/>
          <w:i/>
          <w:iCs/>
        </w:rPr>
        <w:t>o all the laws and regulations of the Islamic Republic of Ir</w:t>
      </w:r>
      <w:r w:rsidR="006561B4" w:rsidRPr="005453A7">
        <w:rPr>
          <w:rFonts w:asciiTheme="majorBidi" w:hAnsiTheme="majorBidi" w:cstheme="majorBidi"/>
          <w:i/>
          <w:iCs/>
        </w:rPr>
        <w:t xml:space="preserve">an, to invest in the </w:t>
      </w:r>
      <w:r w:rsidR="00833C75">
        <w:rPr>
          <w:rFonts w:asciiTheme="majorBidi" w:hAnsiTheme="majorBidi" w:cstheme="majorBidi"/>
          <w:i/>
          <w:iCs/>
        </w:rPr>
        <w:t>F</w:t>
      </w:r>
      <w:r w:rsidR="006561B4" w:rsidRPr="005453A7">
        <w:rPr>
          <w:rFonts w:asciiTheme="majorBidi" w:hAnsiTheme="majorBidi" w:cstheme="majorBidi"/>
          <w:i/>
          <w:iCs/>
        </w:rPr>
        <w:t xml:space="preserve">inancial </w:t>
      </w:r>
      <w:r w:rsidR="00833C75">
        <w:rPr>
          <w:rFonts w:asciiTheme="majorBidi" w:hAnsiTheme="majorBidi" w:cstheme="majorBidi"/>
          <w:i/>
          <w:iCs/>
        </w:rPr>
        <w:t>A</w:t>
      </w:r>
      <w:r w:rsidR="006561B4" w:rsidRPr="005453A7">
        <w:rPr>
          <w:rFonts w:asciiTheme="majorBidi" w:hAnsiTheme="majorBidi" w:cstheme="majorBidi"/>
          <w:i/>
          <w:iCs/>
        </w:rPr>
        <w:t xml:space="preserve">ssets and </w:t>
      </w:r>
      <w:r w:rsidR="00833C75">
        <w:rPr>
          <w:rFonts w:asciiTheme="majorBidi" w:hAnsiTheme="majorBidi" w:cstheme="majorBidi"/>
          <w:i/>
          <w:iCs/>
        </w:rPr>
        <w:t>I</w:t>
      </w:r>
      <w:r w:rsidR="006561B4" w:rsidRPr="005453A7">
        <w:rPr>
          <w:rFonts w:asciiTheme="majorBidi" w:hAnsiTheme="majorBidi" w:cstheme="majorBidi"/>
          <w:i/>
          <w:iCs/>
        </w:rPr>
        <w:t xml:space="preserve">nstruments listed in Tehran Stock Exchange (Bourse), </w:t>
      </w:r>
      <w:r w:rsidR="00B03B58" w:rsidRPr="005453A7">
        <w:rPr>
          <w:rFonts w:asciiTheme="majorBidi" w:hAnsiTheme="majorBidi" w:cstheme="majorBidi"/>
          <w:i/>
          <w:iCs/>
        </w:rPr>
        <w:t>under the following terms</w:t>
      </w:r>
      <w:r w:rsidR="00B03B58" w:rsidRPr="005453A7">
        <w:rPr>
          <w:rFonts w:asciiTheme="majorBidi" w:hAnsiTheme="majorBidi" w:cstheme="majorBidi"/>
          <w:i/>
          <w:iCs/>
          <w:rtl/>
        </w:rPr>
        <w:t>:</w:t>
      </w:r>
    </w:p>
    <w:p w14:paraId="4A629E88" w14:textId="37BF6B74" w:rsidR="005453A7" w:rsidRPr="005453A7" w:rsidRDefault="00B03B58" w:rsidP="00C66D2B">
      <w:pPr>
        <w:pStyle w:val="ListParagraph"/>
        <w:numPr>
          <w:ilvl w:val="0"/>
          <w:numId w:val="4"/>
        </w:numPr>
        <w:spacing w:line="240" w:lineRule="auto"/>
        <w:ind w:left="360" w:right="-90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</w:rPr>
        <w:t>The Foreign Investor</w:t>
      </w:r>
      <w:r w:rsidR="006F1D4F" w:rsidRPr="005453A7">
        <w:rPr>
          <w:rFonts w:asciiTheme="majorBidi" w:hAnsiTheme="majorBidi" w:cstheme="majorBidi"/>
          <w:i/>
          <w:iCs/>
        </w:rPr>
        <w:t>’s</w:t>
      </w:r>
      <w:r w:rsidRPr="005453A7">
        <w:rPr>
          <w:rFonts w:asciiTheme="majorBidi" w:hAnsiTheme="majorBidi" w:cstheme="majorBidi"/>
          <w:i/>
          <w:iCs/>
        </w:rPr>
        <w:t xml:space="preserve"> investment</w:t>
      </w:r>
      <w:r w:rsidR="006F1D4F" w:rsidRPr="005453A7">
        <w:rPr>
          <w:rFonts w:asciiTheme="majorBidi" w:hAnsiTheme="majorBidi" w:cstheme="majorBidi"/>
          <w:i/>
          <w:iCs/>
        </w:rPr>
        <w:t xml:space="preserve"> equivalent to </w:t>
      </w:r>
      <w:r w:rsidR="00D71F48" w:rsidRPr="005453A7">
        <w:rPr>
          <w:rFonts w:asciiTheme="majorBidi" w:hAnsiTheme="majorBidi" w:cstheme="majorBidi"/>
          <w:i/>
          <w:iCs/>
        </w:rPr>
        <w:t>USD</w:t>
      </w:r>
      <w:r w:rsidR="006F1D4F" w:rsidRPr="005453A7">
        <w:rPr>
          <w:rFonts w:asciiTheme="majorBidi" w:hAnsiTheme="majorBidi" w:cstheme="majorBidi"/>
          <w:i/>
          <w:iCs/>
        </w:rPr>
        <w:t xml:space="preserve"> (</w:t>
      </w:r>
      <w:r w:rsidR="00845ABA">
        <w:rPr>
          <w:rFonts w:asciiTheme="majorBidi" w:hAnsiTheme="majorBidi" w:cstheme="majorBidi"/>
          <w:i/>
          <w:iCs/>
        </w:rPr>
        <w:t>2</w:t>
      </w:r>
      <w:r w:rsidR="00D71F48" w:rsidRPr="005453A7">
        <w:rPr>
          <w:rFonts w:asciiTheme="majorBidi" w:hAnsiTheme="majorBidi" w:cstheme="majorBidi"/>
          <w:i/>
          <w:iCs/>
        </w:rPr>
        <w:t>00</w:t>
      </w:r>
      <w:r w:rsidR="006F1D4F" w:rsidRPr="005453A7">
        <w:rPr>
          <w:rFonts w:asciiTheme="majorBidi" w:hAnsiTheme="majorBidi" w:cstheme="majorBidi"/>
          <w:i/>
          <w:iCs/>
        </w:rPr>
        <w:t>,</w:t>
      </w:r>
      <w:r w:rsidR="00D71F48" w:rsidRPr="005453A7">
        <w:rPr>
          <w:rFonts w:asciiTheme="majorBidi" w:hAnsiTheme="majorBidi" w:cstheme="majorBidi"/>
          <w:i/>
          <w:iCs/>
        </w:rPr>
        <w:t>000</w:t>
      </w:r>
      <w:r w:rsidR="006F1D4F" w:rsidRPr="005453A7">
        <w:rPr>
          <w:rFonts w:asciiTheme="majorBidi" w:hAnsiTheme="majorBidi" w:cstheme="majorBidi"/>
          <w:i/>
          <w:iCs/>
        </w:rPr>
        <w:t>)</w:t>
      </w:r>
      <w:r w:rsidR="00CA76FB" w:rsidRPr="005453A7">
        <w:rPr>
          <w:rFonts w:asciiTheme="majorBidi" w:hAnsiTheme="majorBidi" w:cstheme="majorBidi"/>
          <w:i/>
          <w:iCs/>
          <w:spacing w:val="-4"/>
        </w:rPr>
        <w:t xml:space="preserve"> </w:t>
      </w:r>
      <w:r w:rsidR="00D71F48" w:rsidRPr="005453A7">
        <w:rPr>
          <w:rFonts w:asciiTheme="majorBidi" w:hAnsiTheme="majorBidi" w:cstheme="majorBidi"/>
          <w:i/>
          <w:iCs/>
          <w:spacing w:val="-4"/>
        </w:rPr>
        <w:t xml:space="preserve">(in words: </w:t>
      </w:r>
      <w:r w:rsidR="00022CBB">
        <w:rPr>
          <w:rFonts w:asciiTheme="majorBidi" w:hAnsiTheme="majorBidi" w:cstheme="majorBidi"/>
          <w:i/>
          <w:iCs/>
          <w:spacing w:val="-4"/>
        </w:rPr>
        <w:t>T</w:t>
      </w:r>
      <w:r w:rsidR="002D6CE6">
        <w:rPr>
          <w:rFonts w:asciiTheme="majorBidi" w:hAnsiTheme="majorBidi" w:cstheme="majorBidi"/>
          <w:i/>
          <w:iCs/>
          <w:spacing w:val="-4"/>
        </w:rPr>
        <w:t>wo</w:t>
      </w:r>
      <w:r w:rsidR="00366E6B">
        <w:rPr>
          <w:rFonts w:asciiTheme="majorBidi" w:hAnsiTheme="majorBidi" w:cstheme="majorBidi"/>
          <w:i/>
          <w:iCs/>
          <w:spacing w:val="-4"/>
        </w:rPr>
        <w:t xml:space="preserve"> </w:t>
      </w:r>
      <w:r w:rsidR="00022CBB">
        <w:rPr>
          <w:rFonts w:asciiTheme="majorBidi" w:hAnsiTheme="majorBidi" w:cstheme="majorBidi"/>
          <w:i/>
          <w:iCs/>
          <w:spacing w:val="-4"/>
        </w:rPr>
        <w:t xml:space="preserve">Hundred </w:t>
      </w:r>
      <w:r w:rsidR="00022CBB" w:rsidRPr="005453A7">
        <w:rPr>
          <w:rFonts w:asciiTheme="majorBidi" w:hAnsiTheme="majorBidi" w:cstheme="majorBidi"/>
          <w:i/>
          <w:iCs/>
          <w:spacing w:val="-4"/>
        </w:rPr>
        <w:t>Thousand</w:t>
      </w:r>
      <w:r w:rsidR="00D71F48" w:rsidRPr="005453A7">
        <w:rPr>
          <w:rFonts w:asciiTheme="majorBidi" w:hAnsiTheme="majorBidi" w:cstheme="majorBidi"/>
          <w:i/>
          <w:iCs/>
          <w:spacing w:val="-4"/>
        </w:rPr>
        <w:t xml:space="preserve">) </w:t>
      </w:r>
      <w:r w:rsidRPr="005453A7">
        <w:rPr>
          <w:rFonts w:asciiTheme="majorBidi" w:hAnsiTheme="majorBidi" w:cstheme="majorBidi"/>
          <w:i/>
          <w:iCs/>
        </w:rPr>
        <w:t>shall be imported into t</w:t>
      </w:r>
      <w:r w:rsidR="008F5B9F" w:rsidRPr="005453A7">
        <w:rPr>
          <w:rFonts w:asciiTheme="majorBidi" w:hAnsiTheme="majorBidi" w:cstheme="majorBidi"/>
          <w:i/>
          <w:iCs/>
        </w:rPr>
        <w:t xml:space="preserve">he </w:t>
      </w:r>
      <w:r w:rsidR="005453A7" w:rsidRPr="005453A7">
        <w:rPr>
          <w:rFonts w:asciiTheme="majorBidi" w:hAnsiTheme="majorBidi" w:cstheme="majorBidi"/>
          <w:i/>
          <w:iCs/>
        </w:rPr>
        <w:t>c</w:t>
      </w:r>
      <w:r w:rsidR="008F5B9F" w:rsidRPr="005453A7">
        <w:rPr>
          <w:rFonts w:asciiTheme="majorBidi" w:hAnsiTheme="majorBidi" w:cstheme="majorBidi"/>
          <w:i/>
          <w:iCs/>
        </w:rPr>
        <w:t>ountry in cash.</w:t>
      </w:r>
    </w:p>
    <w:p w14:paraId="4A629E89" w14:textId="77777777" w:rsidR="005453A7" w:rsidRPr="005453A7" w:rsidRDefault="00B05957" w:rsidP="005453A7">
      <w:pPr>
        <w:pStyle w:val="ListParagraph"/>
        <w:numPr>
          <w:ilvl w:val="0"/>
          <w:numId w:val="4"/>
        </w:numPr>
        <w:spacing w:line="240" w:lineRule="auto"/>
        <w:ind w:left="360" w:right="-90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</w:rPr>
        <w:t xml:space="preserve">Dividends, capital gains as well as </w:t>
      </w:r>
      <w:r w:rsidR="00270B78" w:rsidRPr="005453A7">
        <w:rPr>
          <w:rFonts w:asciiTheme="majorBidi" w:hAnsiTheme="majorBidi" w:cstheme="majorBidi"/>
          <w:i/>
          <w:iCs/>
        </w:rPr>
        <w:t xml:space="preserve">repatriation of </w:t>
      </w:r>
      <w:r w:rsidR="008B2F28" w:rsidRPr="005453A7">
        <w:rPr>
          <w:rFonts w:asciiTheme="majorBidi" w:hAnsiTheme="majorBidi" w:cstheme="majorBidi"/>
          <w:i/>
          <w:iCs/>
        </w:rPr>
        <w:t xml:space="preserve">the </w:t>
      </w:r>
      <w:r w:rsidR="00E56CE5" w:rsidRPr="005453A7">
        <w:rPr>
          <w:rFonts w:asciiTheme="majorBidi" w:hAnsiTheme="majorBidi" w:cstheme="majorBidi"/>
          <w:i/>
          <w:iCs/>
        </w:rPr>
        <w:t xml:space="preserve">principal </w:t>
      </w:r>
      <w:r w:rsidR="008B2F28" w:rsidRPr="005453A7">
        <w:rPr>
          <w:rFonts w:asciiTheme="majorBidi" w:hAnsiTheme="majorBidi" w:cstheme="majorBidi"/>
          <w:i/>
          <w:iCs/>
        </w:rPr>
        <w:t>of</w:t>
      </w:r>
      <w:r w:rsidR="006C2E62" w:rsidRPr="005453A7">
        <w:rPr>
          <w:rFonts w:asciiTheme="majorBidi" w:hAnsiTheme="majorBidi" w:cstheme="majorBidi"/>
          <w:i/>
          <w:iCs/>
        </w:rPr>
        <w:t xml:space="preserve"> </w:t>
      </w:r>
      <w:r w:rsidR="00B03B58" w:rsidRPr="005453A7">
        <w:rPr>
          <w:rFonts w:asciiTheme="majorBidi" w:hAnsiTheme="majorBidi" w:cstheme="majorBidi"/>
          <w:i/>
          <w:iCs/>
        </w:rPr>
        <w:t>fo</w:t>
      </w:r>
      <w:r w:rsidR="00690ED9" w:rsidRPr="005453A7">
        <w:rPr>
          <w:rFonts w:asciiTheme="majorBidi" w:hAnsiTheme="majorBidi" w:cstheme="majorBidi"/>
          <w:i/>
          <w:iCs/>
        </w:rPr>
        <w:t xml:space="preserve">reign capital </w:t>
      </w:r>
      <w:r w:rsidR="00B03B58" w:rsidRPr="005453A7">
        <w:rPr>
          <w:rFonts w:asciiTheme="majorBidi" w:hAnsiTheme="majorBidi" w:cstheme="majorBidi"/>
          <w:i/>
          <w:iCs/>
        </w:rPr>
        <w:t xml:space="preserve">shall be procured and transferable by way of purchasing the foreign exchange from the banking system. </w:t>
      </w:r>
      <w:r w:rsidR="005453A7" w:rsidRPr="005453A7">
        <w:rPr>
          <w:rFonts w:asciiTheme="majorBidi" w:hAnsiTheme="majorBidi" w:cstheme="majorBidi"/>
          <w:i/>
          <w:iCs/>
        </w:rPr>
        <w:t>The foreign exchange transfers referred to in this Para shall be authorized by the Foreign Investment Board and Minister of Economic Affairs and Finance</w:t>
      </w:r>
      <w:r w:rsidR="005453A7" w:rsidRPr="005453A7">
        <w:rPr>
          <w:rFonts w:asciiTheme="majorBidi" w:hAnsiTheme="majorBidi" w:cstheme="majorBidi"/>
          <w:i/>
          <w:iCs/>
          <w:rtl/>
        </w:rPr>
        <w:t>.</w:t>
      </w:r>
    </w:p>
    <w:p w14:paraId="4A629E8A" w14:textId="77777777" w:rsidR="005453A7" w:rsidRPr="005453A7" w:rsidRDefault="000E3AE9" w:rsidP="005453A7">
      <w:pPr>
        <w:pStyle w:val="ListParagraph"/>
        <w:numPr>
          <w:ilvl w:val="0"/>
          <w:numId w:val="4"/>
        </w:numPr>
        <w:spacing w:line="240" w:lineRule="auto"/>
        <w:ind w:left="360" w:right="-90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</w:rPr>
        <w:t xml:space="preserve">This license is valid for 6 months </w:t>
      </w:r>
      <w:r w:rsidR="00B03B58" w:rsidRPr="005453A7">
        <w:rPr>
          <w:rFonts w:asciiTheme="majorBidi" w:hAnsiTheme="majorBidi" w:cstheme="majorBidi"/>
          <w:i/>
          <w:iCs/>
        </w:rPr>
        <w:t>as from the date of notification</w:t>
      </w:r>
      <w:r w:rsidR="00F279BE" w:rsidRPr="005453A7">
        <w:rPr>
          <w:rFonts w:asciiTheme="majorBidi" w:hAnsiTheme="majorBidi" w:cstheme="majorBidi"/>
          <w:i/>
          <w:iCs/>
        </w:rPr>
        <w:t xml:space="preserve">. In the event the investor </w:t>
      </w:r>
      <w:r w:rsidR="00B03B58" w:rsidRPr="005453A7">
        <w:rPr>
          <w:rFonts w:asciiTheme="majorBidi" w:hAnsiTheme="majorBidi" w:cstheme="majorBidi"/>
          <w:i/>
          <w:iCs/>
        </w:rPr>
        <w:t>do</w:t>
      </w:r>
      <w:r w:rsidR="00465160" w:rsidRPr="005453A7">
        <w:rPr>
          <w:rFonts w:asciiTheme="majorBidi" w:hAnsiTheme="majorBidi" w:cstheme="majorBidi"/>
          <w:i/>
          <w:iCs/>
        </w:rPr>
        <w:t>es</w:t>
      </w:r>
      <w:r w:rsidRPr="005453A7">
        <w:rPr>
          <w:rFonts w:asciiTheme="majorBidi" w:hAnsiTheme="majorBidi" w:cstheme="majorBidi"/>
          <w:i/>
          <w:iCs/>
        </w:rPr>
        <w:t xml:space="preserve"> not register the capital with foreign origin in the O.I.E.T.A.I. books and/or does not apply for the exten</w:t>
      </w:r>
      <w:r w:rsidR="00C233A7" w:rsidRPr="005453A7">
        <w:rPr>
          <w:rFonts w:asciiTheme="majorBidi" w:hAnsiTheme="majorBidi" w:cstheme="majorBidi"/>
          <w:i/>
          <w:iCs/>
        </w:rPr>
        <w:t>sion of</w:t>
      </w:r>
      <w:r w:rsidRPr="005453A7">
        <w:rPr>
          <w:rFonts w:asciiTheme="majorBidi" w:hAnsiTheme="majorBidi" w:cstheme="majorBidi"/>
          <w:i/>
          <w:iCs/>
        </w:rPr>
        <w:t xml:space="preserve"> the period by way of submission </w:t>
      </w:r>
      <w:r w:rsidR="00B03B58" w:rsidRPr="005453A7">
        <w:rPr>
          <w:rFonts w:asciiTheme="majorBidi" w:hAnsiTheme="majorBidi" w:cstheme="majorBidi"/>
          <w:i/>
          <w:iCs/>
        </w:rPr>
        <w:t>of justifiable reasons, the Investment License shall be considered as null and void. The extension of protection under the FIPPA is subject to registration of imported capital of the Foreign Investor</w:t>
      </w:r>
      <w:r w:rsidR="00C74DCB" w:rsidRPr="005453A7">
        <w:rPr>
          <w:rFonts w:asciiTheme="majorBidi" w:hAnsiTheme="majorBidi" w:cstheme="majorBidi"/>
          <w:i/>
          <w:iCs/>
        </w:rPr>
        <w:t xml:space="preserve"> </w:t>
      </w:r>
      <w:r w:rsidR="00B03B58" w:rsidRPr="005453A7">
        <w:rPr>
          <w:rFonts w:asciiTheme="majorBidi" w:hAnsiTheme="majorBidi" w:cstheme="majorBidi"/>
          <w:i/>
          <w:iCs/>
        </w:rPr>
        <w:t>by the O.I.E.T.A.I</w:t>
      </w:r>
      <w:r w:rsidR="00B03B58" w:rsidRPr="005453A7">
        <w:rPr>
          <w:rFonts w:asciiTheme="majorBidi" w:hAnsiTheme="majorBidi" w:cstheme="majorBidi"/>
          <w:i/>
          <w:iCs/>
          <w:rtl/>
        </w:rPr>
        <w:t>.</w:t>
      </w:r>
    </w:p>
    <w:p w14:paraId="4A629E8B" w14:textId="7439D152" w:rsidR="009D70DC" w:rsidRPr="005453A7" w:rsidRDefault="00B03B58" w:rsidP="005453A7">
      <w:pPr>
        <w:pStyle w:val="ListParagraph"/>
        <w:numPr>
          <w:ilvl w:val="0"/>
          <w:numId w:val="4"/>
        </w:numPr>
        <w:spacing w:line="240" w:lineRule="auto"/>
        <w:ind w:left="360" w:right="-90"/>
        <w:jc w:val="both"/>
        <w:rPr>
          <w:rFonts w:asciiTheme="majorBidi" w:hAnsiTheme="majorBidi" w:cstheme="majorBidi"/>
          <w:i/>
          <w:iCs/>
        </w:rPr>
      </w:pPr>
      <w:r w:rsidRPr="005453A7">
        <w:rPr>
          <w:rFonts w:asciiTheme="majorBidi" w:hAnsiTheme="majorBidi" w:cstheme="majorBidi"/>
          <w:i/>
          <w:iCs/>
        </w:rPr>
        <w:t xml:space="preserve">The Foreign Investor </w:t>
      </w:r>
      <w:r w:rsidR="00C74DCB" w:rsidRPr="005453A7">
        <w:rPr>
          <w:rFonts w:asciiTheme="majorBidi" w:hAnsiTheme="majorBidi" w:cstheme="majorBidi"/>
          <w:i/>
          <w:iCs/>
        </w:rPr>
        <w:t>is</w:t>
      </w:r>
      <w:r w:rsidRPr="005453A7">
        <w:rPr>
          <w:rFonts w:asciiTheme="majorBidi" w:hAnsiTheme="majorBidi" w:cstheme="majorBidi"/>
          <w:i/>
          <w:iCs/>
        </w:rPr>
        <w:t xml:space="preserve"> obliged to provide the O.I.E.T.A.I. with </w:t>
      </w:r>
      <w:r w:rsidR="00897BB9" w:rsidRPr="00897BB9">
        <w:rPr>
          <w:rFonts w:asciiTheme="majorBidi" w:hAnsiTheme="majorBidi" w:cstheme="majorBidi"/>
          <w:i/>
          <w:iCs/>
        </w:rPr>
        <w:t xml:space="preserve">Semi-Annual Financial </w:t>
      </w:r>
      <w:r w:rsidR="00763B09" w:rsidRPr="005453A7">
        <w:rPr>
          <w:rFonts w:asciiTheme="majorBidi" w:hAnsiTheme="majorBidi" w:cstheme="majorBidi"/>
          <w:i/>
          <w:iCs/>
        </w:rPr>
        <w:t>report of its transaction in Bourse.”</w:t>
      </w:r>
      <w:r w:rsidRPr="005453A7">
        <w:rPr>
          <w:rFonts w:asciiTheme="majorBidi" w:hAnsiTheme="majorBidi" w:cstheme="majorBidi"/>
          <w:i/>
          <w:iCs/>
        </w:rPr>
        <w:t xml:space="preserve"> </w:t>
      </w:r>
    </w:p>
    <w:p w14:paraId="4A629E8C" w14:textId="77777777" w:rsidR="00B03B58" w:rsidRPr="00CA76FB" w:rsidRDefault="00B03B58" w:rsidP="007F1176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4A629E8D" w14:textId="77777777" w:rsidR="005453A7" w:rsidRPr="00CA76FB" w:rsidRDefault="005453A7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Seyyed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Ehsan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Khandoozi</w:t>
      </w:r>
      <w:proofErr w:type="spellEnd"/>
      <w:r w:rsidRPr="00CA76FB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</w:p>
    <w:p w14:paraId="4A629E8E" w14:textId="77777777" w:rsidR="005453A7" w:rsidRPr="00CA64E5" w:rsidRDefault="005453A7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(Signature of Minister</w:t>
      </w:r>
      <w:r w:rsidRPr="00CA76FB">
        <w:rPr>
          <w:rFonts w:asciiTheme="majorBidi" w:hAnsiTheme="majorBidi" w:cstheme="majorBidi"/>
          <w:i/>
          <w:iCs/>
          <w:sz w:val="24"/>
          <w:szCs w:val="24"/>
        </w:rPr>
        <w:t xml:space="preserve"> of Economic Affairs and Finance)</w:t>
      </w:r>
    </w:p>
    <w:p w14:paraId="4A629E8F" w14:textId="77777777" w:rsidR="00D33B51" w:rsidRPr="00CA76FB" w:rsidRDefault="00022CBB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</w:rPr>
      </w:pPr>
    </w:p>
    <w:sectPr w:rsidR="00D33B51" w:rsidRPr="00CA76FB" w:rsidSect="00250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0754D"/>
    <w:multiLevelType w:val="hybridMultilevel"/>
    <w:tmpl w:val="6DDE42D6"/>
    <w:lvl w:ilvl="0" w:tplc="8FFACCE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A72C7"/>
    <w:multiLevelType w:val="hybridMultilevel"/>
    <w:tmpl w:val="2A102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45E5C"/>
    <w:multiLevelType w:val="hybridMultilevel"/>
    <w:tmpl w:val="6DDE42D6"/>
    <w:lvl w:ilvl="0" w:tplc="8FFACCE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B58"/>
    <w:rsid w:val="00022CBB"/>
    <w:rsid w:val="000416A5"/>
    <w:rsid w:val="00060FE0"/>
    <w:rsid w:val="0009427C"/>
    <w:rsid w:val="00096B30"/>
    <w:rsid w:val="000A2FB8"/>
    <w:rsid w:val="000B7C80"/>
    <w:rsid w:val="000E3AE9"/>
    <w:rsid w:val="000F60F0"/>
    <w:rsid w:val="000F63B3"/>
    <w:rsid w:val="00112A3E"/>
    <w:rsid w:val="00127738"/>
    <w:rsid w:val="00133F37"/>
    <w:rsid w:val="001514F0"/>
    <w:rsid w:val="00174959"/>
    <w:rsid w:val="00181F83"/>
    <w:rsid w:val="00192CEE"/>
    <w:rsid w:val="001935F6"/>
    <w:rsid w:val="001D1546"/>
    <w:rsid w:val="002304FC"/>
    <w:rsid w:val="002507EA"/>
    <w:rsid w:val="002510B5"/>
    <w:rsid w:val="002638B3"/>
    <w:rsid w:val="00270B78"/>
    <w:rsid w:val="00292572"/>
    <w:rsid w:val="002D6CE6"/>
    <w:rsid w:val="00340B04"/>
    <w:rsid w:val="00347D54"/>
    <w:rsid w:val="00366E6B"/>
    <w:rsid w:val="003B5BAA"/>
    <w:rsid w:val="003D28E3"/>
    <w:rsid w:val="003F2D0A"/>
    <w:rsid w:val="0042669C"/>
    <w:rsid w:val="00450214"/>
    <w:rsid w:val="00465160"/>
    <w:rsid w:val="004700AF"/>
    <w:rsid w:val="0049734F"/>
    <w:rsid w:val="004A3C3B"/>
    <w:rsid w:val="004B3113"/>
    <w:rsid w:val="004C3483"/>
    <w:rsid w:val="004C34FD"/>
    <w:rsid w:val="004D1904"/>
    <w:rsid w:val="004D25C0"/>
    <w:rsid w:val="00516393"/>
    <w:rsid w:val="005244C9"/>
    <w:rsid w:val="00531FEB"/>
    <w:rsid w:val="00537CCD"/>
    <w:rsid w:val="005453A7"/>
    <w:rsid w:val="00550A8C"/>
    <w:rsid w:val="00565146"/>
    <w:rsid w:val="005654E6"/>
    <w:rsid w:val="00572CFA"/>
    <w:rsid w:val="005A5312"/>
    <w:rsid w:val="005F22D0"/>
    <w:rsid w:val="006305B0"/>
    <w:rsid w:val="00636543"/>
    <w:rsid w:val="006561B4"/>
    <w:rsid w:val="00661CA1"/>
    <w:rsid w:val="006632AA"/>
    <w:rsid w:val="00667FC2"/>
    <w:rsid w:val="0067221E"/>
    <w:rsid w:val="00681CCE"/>
    <w:rsid w:val="00690ED9"/>
    <w:rsid w:val="006935FB"/>
    <w:rsid w:val="00696140"/>
    <w:rsid w:val="006C2E62"/>
    <w:rsid w:val="006C36B6"/>
    <w:rsid w:val="006F1D4F"/>
    <w:rsid w:val="0076048D"/>
    <w:rsid w:val="00760862"/>
    <w:rsid w:val="00763B09"/>
    <w:rsid w:val="00783699"/>
    <w:rsid w:val="007A63ED"/>
    <w:rsid w:val="007B75F2"/>
    <w:rsid w:val="007C70E8"/>
    <w:rsid w:val="007D4133"/>
    <w:rsid w:val="007E36C8"/>
    <w:rsid w:val="007F1176"/>
    <w:rsid w:val="00807300"/>
    <w:rsid w:val="008161BC"/>
    <w:rsid w:val="00817DFB"/>
    <w:rsid w:val="00833C75"/>
    <w:rsid w:val="00845ABA"/>
    <w:rsid w:val="00851CA0"/>
    <w:rsid w:val="008772FC"/>
    <w:rsid w:val="00897BB9"/>
    <w:rsid w:val="008B2F28"/>
    <w:rsid w:val="008D7FD5"/>
    <w:rsid w:val="008F5B9F"/>
    <w:rsid w:val="00903D33"/>
    <w:rsid w:val="00962CDF"/>
    <w:rsid w:val="00964CC4"/>
    <w:rsid w:val="009654DF"/>
    <w:rsid w:val="00993941"/>
    <w:rsid w:val="00994D24"/>
    <w:rsid w:val="009A301F"/>
    <w:rsid w:val="009C249D"/>
    <w:rsid w:val="009D16D6"/>
    <w:rsid w:val="009D3D5D"/>
    <w:rsid w:val="009D70DC"/>
    <w:rsid w:val="009F5D83"/>
    <w:rsid w:val="00A071F8"/>
    <w:rsid w:val="00A37EB5"/>
    <w:rsid w:val="00A572C8"/>
    <w:rsid w:val="00AA3AC9"/>
    <w:rsid w:val="00B0291A"/>
    <w:rsid w:val="00B03B58"/>
    <w:rsid w:val="00B05957"/>
    <w:rsid w:val="00B244F4"/>
    <w:rsid w:val="00B26798"/>
    <w:rsid w:val="00B6531D"/>
    <w:rsid w:val="00BB4123"/>
    <w:rsid w:val="00BD4D96"/>
    <w:rsid w:val="00BE0225"/>
    <w:rsid w:val="00BE1B9B"/>
    <w:rsid w:val="00C177BB"/>
    <w:rsid w:val="00C233A7"/>
    <w:rsid w:val="00C24CA2"/>
    <w:rsid w:val="00C40701"/>
    <w:rsid w:val="00C66748"/>
    <w:rsid w:val="00C66D2B"/>
    <w:rsid w:val="00C74DCB"/>
    <w:rsid w:val="00C820AE"/>
    <w:rsid w:val="00C82E9D"/>
    <w:rsid w:val="00CA5E69"/>
    <w:rsid w:val="00CA76FB"/>
    <w:rsid w:val="00CB3E14"/>
    <w:rsid w:val="00CB7AD6"/>
    <w:rsid w:val="00CD01DE"/>
    <w:rsid w:val="00D51C94"/>
    <w:rsid w:val="00D61375"/>
    <w:rsid w:val="00D71F48"/>
    <w:rsid w:val="00D77BF7"/>
    <w:rsid w:val="00DD514D"/>
    <w:rsid w:val="00DE7D08"/>
    <w:rsid w:val="00E17AB6"/>
    <w:rsid w:val="00E36499"/>
    <w:rsid w:val="00E53B81"/>
    <w:rsid w:val="00E56CE5"/>
    <w:rsid w:val="00EA1B53"/>
    <w:rsid w:val="00EB154F"/>
    <w:rsid w:val="00EB393D"/>
    <w:rsid w:val="00EB408C"/>
    <w:rsid w:val="00EE7131"/>
    <w:rsid w:val="00F05217"/>
    <w:rsid w:val="00F06F05"/>
    <w:rsid w:val="00F22DF8"/>
    <w:rsid w:val="00F279BE"/>
    <w:rsid w:val="00F45629"/>
    <w:rsid w:val="00F46A10"/>
    <w:rsid w:val="00F65CBB"/>
    <w:rsid w:val="00F92CDA"/>
    <w:rsid w:val="00FD67C5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A629E7A"/>
  <w15:docId w15:val="{6EB88211-0842-4249-A30F-CCF3F55A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B58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3B58"/>
    <w:pPr>
      <w:bidi/>
      <w:spacing w:after="0" w:line="240" w:lineRule="auto"/>
      <w:jc w:val="center"/>
    </w:pPr>
    <w:rPr>
      <w:rFonts w:ascii="Times New Roman" w:hAnsi="Times New Roman" w:cs="Nazanin"/>
      <w:b/>
      <w:bCs/>
      <w:sz w:val="32"/>
      <w:szCs w:val="32"/>
      <w:lang w:bidi="fa-IR"/>
    </w:rPr>
  </w:style>
  <w:style w:type="character" w:customStyle="1" w:styleId="TitleChar">
    <w:name w:val="Title Char"/>
    <w:basedOn w:val="DefaultParagraphFont"/>
    <w:link w:val="Title"/>
    <w:rsid w:val="00B03B58"/>
    <w:rPr>
      <w:rFonts w:ascii="Times New Roman" w:eastAsia="Times New Roman" w:hAnsi="Times New Roman" w:cs="Nazanin"/>
      <w:b/>
      <w:bCs/>
      <w:sz w:val="32"/>
      <w:szCs w:val="32"/>
      <w:lang w:bidi="fa-IR"/>
    </w:rPr>
  </w:style>
  <w:style w:type="paragraph" w:styleId="ListParagraph">
    <w:name w:val="List Paragraph"/>
    <w:basedOn w:val="Normal"/>
    <w:uiPriority w:val="34"/>
    <w:qFormat/>
    <w:rsid w:val="005453A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97B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ebrahimzadeh</dc:creator>
  <cp:lastModifiedBy>bahrami</cp:lastModifiedBy>
  <cp:revision>8</cp:revision>
  <dcterms:created xsi:type="dcterms:W3CDTF">2023-11-15T15:23:00Z</dcterms:created>
  <dcterms:modified xsi:type="dcterms:W3CDTF">2023-11-21T13:09:00Z</dcterms:modified>
</cp:coreProperties>
</file>